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B8" w:rsidRPr="00535FCF" w:rsidRDefault="00B51EB8" w:rsidP="00B51EB8">
      <w:pPr>
        <w:widowControl/>
        <w:jc w:val="left"/>
        <w:rPr>
          <w:rFonts w:ascii="文星仿宋" w:eastAsia="文星仿宋" w:hAnsi="Times New Roman" w:cs="Times New Roman"/>
          <w:sz w:val="28"/>
          <w:szCs w:val="28"/>
        </w:rPr>
      </w:pPr>
      <w:r w:rsidRPr="00535FCF">
        <w:rPr>
          <w:rFonts w:ascii="文星仿宋" w:eastAsia="文星仿宋" w:hAnsi="Times New Roman" w:cs="Times New Roman" w:hint="eastAsia"/>
          <w:sz w:val="28"/>
          <w:szCs w:val="28"/>
        </w:rPr>
        <w:t>附件3</w:t>
      </w:r>
    </w:p>
    <w:tbl>
      <w:tblPr>
        <w:tblW w:w="9685" w:type="dxa"/>
        <w:tblInd w:w="-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122"/>
        <w:gridCol w:w="2127"/>
        <w:gridCol w:w="2126"/>
        <w:gridCol w:w="190"/>
        <w:gridCol w:w="1794"/>
        <w:gridCol w:w="621"/>
        <w:gridCol w:w="7"/>
      </w:tblGrid>
      <w:tr w:rsidR="00B51EB8" w:rsidRPr="00535FCF" w:rsidTr="00F23A45">
        <w:trPr>
          <w:trHeight w:val="680"/>
        </w:trPr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535FCF" w:rsidRDefault="00B51EB8" w:rsidP="00B51EB8">
            <w:pPr>
              <w:widowControl/>
              <w:spacing w:afterLines="50" w:after="156"/>
              <w:jc w:val="center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 w:val="44"/>
                <w:szCs w:val="44"/>
              </w:rPr>
            </w:pPr>
            <w:r w:rsidRPr="00535FCF">
              <w:rPr>
                <w:rFonts w:ascii="文星仿宋" w:eastAsia="文星仿宋" w:hAnsi="Times New Roman" w:cs="Times New Roman" w:hint="eastAsia"/>
                <w:b/>
                <w:kern w:val="0"/>
                <w:sz w:val="44"/>
                <w:szCs w:val="44"/>
                <w:lang w:bidi="ar"/>
              </w:rPr>
              <w:t>2019年梅州市</w:t>
            </w:r>
            <w:r w:rsidRPr="00535FCF">
              <w:rPr>
                <w:rFonts w:ascii="文星仿宋" w:eastAsia="文星仿宋" w:hAnsiTheme="majorEastAsia" w:cs="Times New Roman" w:hint="eastAsia"/>
                <w:b/>
                <w:kern w:val="0"/>
                <w:sz w:val="44"/>
                <w:szCs w:val="44"/>
                <w:lang w:bidi="ar"/>
              </w:rPr>
              <w:t>“最美阳台”</w:t>
            </w:r>
            <w:r w:rsidRPr="00535FCF">
              <w:rPr>
                <w:rFonts w:ascii="文星仿宋" w:eastAsia="文星仿宋" w:hAnsi="Times New Roman" w:cs="Times New Roman" w:hint="eastAsia"/>
                <w:b/>
                <w:kern w:val="0"/>
                <w:sz w:val="44"/>
                <w:szCs w:val="44"/>
                <w:lang w:bidi="ar"/>
              </w:rPr>
              <w:t>评分表</w:t>
            </w:r>
          </w:p>
        </w:tc>
      </w:tr>
      <w:tr w:rsidR="00B51EB8" w:rsidRPr="00535FCF" w:rsidTr="00F23A45">
        <w:trPr>
          <w:trHeight w:val="560"/>
        </w:trPr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96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5"/>
            </w:tblGrid>
            <w:tr w:rsidR="00B51EB8" w:rsidRPr="00535FCF" w:rsidTr="00F23A45">
              <w:trPr>
                <w:trHeight w:val="560"/>
              </w:trPr>
              <w:tc>
                <w:tcPr>
                  <w:tcW w:w="9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51EB8" w:rsidRPr="00535FCF" w:rsidRDefault="00B51EB8" w:rsidP="00F23A45">
                  <w:pPr>
                    <w:rPr>
                      <w:rFonts w:ascii="文星仿宋" w:eastAsia="文星仿宋" w:hAnsi="Times New Roman" w:cs="Times New Roman"/>
                      <w:color w:val="000000"/>
                      <w:sz w:val="40"/>
                      <w:szCs w:val="40"/>
                    </w:rPr>
                  </w:pPr>
                  <w:r w:rsidRPr="00774DDC">
                    <w:rPr>
                      <w:rFonts w:ascii="文星仿宋" w:eastAsia="文星仿宋" w:hAnsi="Times New Roman" w:cs="Times New Roman" w:hint="eastAsia"/>
                      <w:color w:val="000000"/>
                      <w:kern w:val="0"/>
                      <w:sz w:val="28"/>
                      <w:u w:val="single"/>
                      <w:lang w:bidi="ar"/>
                    </w:rPr>
                    <w:t xml:space="preserve">            </w:t>
                  </w:r>
                  <w:r w:rsidRPr="00774DDC">
                    <w:rPr>
                      <w:rFonts w:ascii="文星仿宋" w:eastAsia="文星仿宋" w:hAnsi="Times New Roman" w:cs="Times New Roman" w:hint="eastAsia"/>
                      <w:color w:val="000000"/>
                      <w:kern w:val="0"/>
                      <w:sz w:val="28"/>
                      <w:lang w:bidi="ar"/>
                    </w:rPr>
                    <w:t>县（市、区）</w:t>
                  </w:r>
                  <w:r w:rsidR="00774DDC">
                    <w:rPr>
                      <w:rFonts w:ascii="文星仿宋" w:eastAsia="文星仿宋" w:hAnsi="Times New Roman" w:cs="Times New Roman" w:hint="eastAsia"/>
                      <w:color w:val="000000"/>
                      <w:kern w:val="0"/>
                      <w:sz w:val="28"/>
                      <w:lang w:bidi="ar"/>
                    </w:rPr>
                    <w:t xml:space="preserve">  </w:t>
                  </w:r>
                  <w:r w:rsidRPr="00774DDC">
                    <w:rPr>
                      <w:rFonts w:ascii="文星仿宋" w:eastAsia="文星仿宋" w:hAnsi="Times New Roman" w:cs="Times New Roman" w:hint="eastAsia"/>
                      <w:color w:val="000000"/>
                      <w:kern w:val="0"/>
                      <w:sz w:val="28"/>
                      <w:lang w:bidi="ar"/>
                    </w:rPr>
                    <w:t xml:space="preserve">            </w:t>
                  </w:r>
                  <w:r w:rsidR="00110EBC">
                    <w:rPr>
                      <w:rFonts w:ascii="文星仿宋" w:eastAsia="文星仿宋" w:hAnsi="Times New Roman" w:cs="Times New Roman" w:hint="eastAsia"/>
                      <w:color w:val="000000"/>
                      <w:kern w:val="0"/>
                      <w:sz w:val="28"/>
                      <w:lang w:bidi="ar"/>
                    </w:rPr>
                    <w:t>阳台</w:t>
                  </w:r>
                  <w:bookmarkStart w:id="0" w:name="_GoBack"/>
                  <w:bookmarkEnd w:id="0"/>
                  <w:r w:rsidRPr="00774DDC">
                    <w:rPr>
                      <w:rFonts w:ascii="文星仿宋" w:eastAsia="文星仿宋" w:hAnsi="Times New Roman" w:cs="Times New Roman" w:hint="eastAsia"/>
                      <w:color w:val="000000"/>
                      <w:kern w:val="0"/>
                      <w:sz w:val="28"/>
                      <w:lang w:bidi="ar"/>
                    </w:rPr>
                    <w:t>名称：</w:t>
                  </w:r>
                  <w:r w:rsidRPr="00774DDC">
                    <w:rPr>
                      <w:rFonts w:ascii="文星仿宋" w:eastAsia="文星仿宋" w:hAnsi="Times New Roman" w:cs="Times New Roman" w:hint="eastAsia"/>
                      <w:color w:val="000000"/>
                      <w:kern w:val="0"/>
                      <w:sz w:val="28"/>
                      <w:u w:val="single"/>
                      <w:lang w:bidi="ar"/>
                    </w:rPr>
                    <w:t xml:space="preserve">                    </w:t>
                  </w:r>
                  <w:r w:rsidRPr="00535FCF">
                    <w:rPr>
                      <w:rFonts w:ascii="文星仿宋" w:eastAsia="文星仿宋" w:hAnsi="Times New Roman" w:cs="Times New Roman" w:hint="eastAsia"/>
                      <w:color w:val="000000"/>
                      <w:kern w:val="0"/>
                      <w:sz w:val="22"/>
                      <w:u w:val="single"/>
                      <w:lang w:bidi="ar"/>
                    </w:rPr>
                    <w:t xml:space="preserve">            </w:t>
                  </w:r>
                </w:p>
              </w:tc>
            </w:tr>
          </w:tbl>
          <w:p w:rsidR="00B51EB8" w:rsidRPr="00535FCF" w:rsidRDefault="00B51EB8" w:rsidP="00F23A45">
            <w:pPr>
              <w:jc w:val="center"/>
              <w:rPr>
                <w:rFonts w:ascii="文星仿宋" w:eastAsia="文星仿宋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B51EB8" w:rsidRPr="00774DDC" w:rsidTr="00F23A45">
        <w:trPr>
          <w:gridAfter w:val="1"/>
          <w:wAfter w:w="7" w:type="dxa"/>
          <w:trHeight w:val="57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center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21-25分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center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14-20分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center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7-13分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center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0-6分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EB8" w:rsidRPr="00774DDC" w:rsidRDefault="00B51EB8" w:rsidP="00F23A45">
            <w:pPr>
              <w:widowControl/>
              <w:jc w:val="center"/>
              <w:rPr>
                <w:rFonts w:ascii="文星仿宋" w:eastAsia="文星仿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得分</w:t>
            </w:r>
          </w:p>
        </w:tc>
      </w:tr>
      <w:tr w:rsidR="00B51EB8" w:rsidRPr="00774DDC" w:rsidTr="00F23A45">
        <w:trPr>
          <w:gridAfter w:val="1"/>
          <w:wAfter w:w="7" w:type="dxa"/>
          <w:trHeight w:val="11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left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设计布局美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阳台设计合理，布局美观，主题鲜明，创意十足，具有意境和内涵，景观小品或休憩设施布置合理且有内涵。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阳台设计合理，布局合理，主题得当，布置有景观小品或休憩设施。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阳台设计、布局一般，没有布置景观小品或休憩设施。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阳台设计不合理，布局凌乱，整体美感较差。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B8" w:rsidRPr="00774DDC" w:rsidRDefault="00B51EB8" w:rsidP="00F23A45">
            <w:pPr>
              <w:widowControl/>
              <w:jc w:val="left"/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</w:p>
        </w:tc>
      </w:tr>
      <w:tr w:rsidR="00B51EB8" w:rsidRPr="00774DDC" w:rsidTr="00F23A45">
        <w:trPr>
          <w:gridAfter w:val="1"/>
          <w:wAfter w:w="7" w:type="dxa"/>
          <w:trHeight w:val="1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left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种植绿化美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阳台内花卉、盆栽20盆以上，观花植物10盆以上，花木绿化养护到位，株型优美，枝繁叶茂，绿化效果极好。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阳台内花卉、盆栽15-20盆，观花植物7-10盆，花木绿化养护到位，无枯枝杂草、无病虫害现象。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阳台内花卉、盆栽10-15盆，观花植物4-7盆，花木绿化养护一般，存在少量枯枝杂草和病虫害现象。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阳台内花卉、盆栽10盆以下，观花植物4盆以下，花木绿化养护不到位，存在较多枯枝杂草和病虫害现象。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B8" w:rsidRPr="00774DDC" w:rsidRDefault="00B51EB8" w:rsidP="00F23A45">
            <w:pPr>
              <w:widowControl/>
              <w:jc w:val="left"/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</w:p>
        </w:tc>
      </w:tr>
      <w:tr w:rsidR="00B51EB8" w:rsidRPr="00774DDC" w:rsidTr="00F23A45">
        <w:trPr>
          <w:gridAfter w:val="1"/>
          <w:wAfter w:w="7" w:type="dxa"/>
          <w:trHeight w:val="1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left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规范整齐美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阳台整体感觉井然有序，物品摆放整齐规范，无违章搭建现象，地面、墙面、门窗等设施完好无损且美观大方，花盆有盘托，花盆、花架牢固稳定、荷载安全。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阳台整体感觉整齐，物品摆放较整齐，无违章搭建现象，地面、墙面、门窗等设施较好。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阳台整体基本整齐，物品摆放稍显杂乱，存在少量违章搭建的现象，地面、墙面、门窗等设施存在少量破损现象。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阳台整体杂乱无序，物品摆放较杂乱，存在违章搭建的现象，地面、墙面、门窗等设施存在多处破损现象，花盆没有盘托，花盆、花架存在安全隐患。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B8" w:rsidRPr="00774DDC" w:rsidRDefault="00B51EB8" w:rsidP="00F23A45">
            <w:pPr>
              <w:widowControl/>
              <w:jc w:val="left"/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</w:p>
        </w:tc>
      </w:tr>
      <w:tr w:rsidR="00B51EB8" w:rsidRPr="00774DDC" w:rsidTr="00F23A45">
        <w:trPr>
          <w:gridAfter w:val="1"/>
          <w:wAfter w:w="7" w:type="dxa"/>
          <w:trHeight w:val="1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left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环境清洁美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阳台整体卫生状况极好，一尘不染，无垃圾、无积水、无粪土现象，空气清新，墙面干净、美观。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阳台整体卫生状况较好，无明显垃圾、积水、粪土现象，空气清新，没有明显灰尘，墙面内外无乱张贴、乱涂乱画现象。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阳台整体卫生状况一般，存在少量垃圾、积水或粪土现象，空气状况一般，有少量灰尘，墙面存在少量乱张贴、乱涂乱画现象。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spacing w:line="300" w:lineRule="exact"/>
              <w:jc w:val="left"/>
              <w:textAlignment w:val="center"/>
              <w:rPr>
                <w:rFonts w:ascii="文星仿宋" w:eastAsia="文星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阳台整体卫生状况较差，存在较多垃圾、积水或粪土现象，有异味，较多灰尘，墙面存在乱张贴、乱涂乱画现象。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B8" w:rsidRPr="00774DDC" w:rsidRDefault="00B51EB8" w:rsidP="00F23A45">
            <w:pPr>
              <w:widowControl/>
              <w:jc w:val="left"/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</w:p>
        </w:tc>
      </w:tr>
      <w:tr w:rsidR="00B51EB8" w:rsidRPr="00774DDC" w:rsidTr="00F23A45">
        <w:trPr>
          <w:gridAfter w:val="1"/>
          <w:wAfter w:w="7" w:type="dxa"/>
          <w:trHeight w:val="500"/>
        </w:trPr>
        <w:tc>
          <w:tcPr>
            <w:tcW w:w="9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AA755A" w:rsidRDefault="00B51EB8" w:rsidP="00F23A45">
            <w:pPr>
              <w:jc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AA755A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小计：100(A)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B8" w:rsidRPr="00774DDC" w:rsidRDefault="00B51EB8" w:rsidP="00F23A45">
            <w:pPr>
              <w:widowControl/>
              <w:jc w:val="left"/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</w:p>
        </w:tc>
      </w:tr>
      <w:tr w:rsidR="00B51EB8" w:rsidRPr="00774DDC" w:rsidTr="00F23A45">
        <w:trPr>
          <w:gridAfter w:val="1"/>
          <w:wAfter w:w="7" w:type="dxa"/>
          <w:trHeight w:val="5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755A" w:rsidRDefault="00B51EB8" w:rsidP="00F23A45">
            <w:pPr>
              <w:widowControl/>
              <w:jc w:val="left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网络</w:t>
            </w:r>
          </w:p>
          <w:p w:rsidR="00B51EB8" w:rsidRPr="00774DDC" w:rsidRDefault="00B51EB8" w:rsidP="00F23A45">
            <w:pPr>
              <w:widowControl/>
              <w:jc w:val="left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投票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color w:val="000000"/>
                <w:kern w:val="0"/>
                <w:szCs w:val="21"/>
                <w:lang w:bidi="ar"/>
              </w:rPr>
              <w:t>将所有参评单位的投票票数，按照票数高低来进行排列。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AA755A" w:rsidRDefault="00B51EB8" w:rsidP="00F23A45">
            <w:pPr>
              <w:widowControl/>
              <w:jc w:val="center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AA755A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100(B)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B8" w:rsidRPr="00774DDC" w:rsidRDefault="00B51EB8" w:rsidP="00F23A45">
            <w:pPr>
              <w:widowControl/>
              <w:jc w:val="left"/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</w:p>
        </w:tc>
      </w:tr>
      <w:tr w:rsidR="00B51EB8" w:rsidRPr="00774DDC" w:rsidTr="00F23A45">
        <w:trPr>
          <w:gridAfter w:val="1"/>
          <w:wAfter w:w="7" w:type="dxa"/>
          <w:trHeight w:val="5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774DDC" w:rsidRDefault="00B51EB8" w:rsidP="00F23A45">
            <w:pPr>
              <w:widowControl/>
              <w:jc w:val="center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774DDC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AA755A" w:rsidRDefault="00B51EB8" w:rsidP="00F23A45">
            <w:pPr>
              <w:widowControl/>
              <w:jc w:val="center"/>
              <w:textAlignment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AA755A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C=60%A+40%B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1EB8" w:rsidRPr="00AA755A" w:rsidRDefault="00B51EB8" w:rsidP="00F23A45">
            <w:pPr>
              <w:jc w:val="center"/>
              <w:rPr>
                <w:rFonts w:ascii="文星仿宋" w:eastAsia="文星仿宋" w:hAnsi="Times New Roman" w:cs="Times New Roman"/>
                <w:b/>
                <w:color w:val="000000"/>
                <w:szCs w:val="21"/>
              </w:rPr>
            </w:pPr>
            <w:r w:rsidRPr="00AA755A">
              <w:rPr>
                <w:rFonts w:ascii="文星仿宋" w:eastAsia="文星仿宋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100(C)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B8" w:rsidRPr="00774DDC" w:rsidRDefault="00B51EB8" w:rsidP="00F23A45">
            <w:pPr>
              <w:widowControl/>
              <w:jc w:val="left"/>
              <w:rPr>
                <w:rFonts w:ascii="文星仿宋" w:eastAsia="文星仿宋" w:hAnsi="Times New Roman" w:cs="Times New Roman"/>
                <w:color w:val="000000"/>
                <w:szCs w:val="21"/>
              </w:rPr>
            </w:pPr>
          </w:p>
        </w:tc>
      </w:tr>
    </w:tbl>
    <w:p w:rsidR="00E862E2" w:rsidRPr="00774DDC" w:rsidRDefault="00B51EB8" w:rsidP="00B51EB8">
      <w:pPr>
        <w:spacing w:line="360" w:lineRule="exact"/>
        <w:rPr>
          <w:szCs w:val="21"/>
        </w:rPr>
      </w:pPr>
      <w:r w:rsidRPr="00774DDC">
        <w:rPr>
          <w:rFonts w:ascii="文星仿宋" w:eastAsia="文星仿宋" w:hAnsi="Times New Roman" w:cs="Times New Roman" w:hint="eastAsia"/>
          <w:szCs w:val="21"/>
        </w:rPr>
        <w:t>说明：“最美阳台”评选分数分为现场打分和线上打分两部分，其中现场</w:t>
      </w:r>
      <w:proofErr w:type="gramStart"/>
      <w:r w:rsidRPr="00774DDC">
        <w:rPr>
          <w:rFonts w:ascii="文星仿宋" w:eastAsia="文星仿宋" w:hAnsi="Times New Roman" w:cs="Times New Roman" w:hint="eastAsia"/>
          <w:szCs w:val="21"/>
        </w:rPr>
        <w:t>打分占</w:t>
      </w:r>
      <w:proofErr w:type="gramEnd"/>
      <w:r w:rsidRPr="00774DDC">
        <w:rPr>
          <w:rFonts w:ascii="文星仿宋" w:eastAsia="文星仿宋" w:hAnsi="Times New Roman" w:cs="Times New Roman" w:hint="eastAsia"/>
          <w:szCs w:val="21"/>
        </w:rPr>
        <w:t>总分值的60%，线上</w:t>
      </w:r>
      <w:proofErr w:type="gramStart"/>
      <w:r w:rsidRPr="00774DDC">
        <w:rPr>
          <w:rFonts w:ascii="文星仿宋" w:eastAsia="文星仿宋" w:hAnsi="Times New Roman" w:cs="Times New Roman" w:hint="eastAsia"/>
          <w:szCs w:val="21"/>
        </w:rPr>
        <w:t>打分占</w:t>
      </w:r>
      <w:proofErr w:type="gramEnd"/>
      <w:r w:rsidRPr="00774DDC">
        <w:rPr>
          <w:rFonts w:ascii="文星仿宋" w:eastAsia="文星仿宋" w:hAnsi="Times New Roman" w:cs="Times New Roman" w:hint="eastAsia"/>
          <w:szCs w:val="21"/>
        </w:rPr>
        <w:t>总分值的40%，根据综合分数进行排名，若出现同分并列的参选单位，则以现场打分高者排名靠前。</w:t>
      </w:r>
    </w:p>
    <w:sectPr w:rsidR="00E862E2" w:rsidRPr="0077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B8" w:rsidRDefault="00B51EB8" w:rsidP="00B51EB8">
      <w:r>
        <w:separator/>
      </w:r>
    </w:p>
  </w:endnote>
  <w:endnote w:type="continuationSeparator" w:id="0">
    <w:p w:rsidR="00B51EB8" w:rsidRDefault="00B51EB8" w:rsidP="00B5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B8" w:rsidRDefault="00B51EB8" w:rsidP="00B51EB8">
      <w:r>
        <w:separator/>
      </w:r>
    </w:p>
  </w:footnote>
  <w:footnote w:type="continuationSeparator" w:id="0">
    <w:p w:rsidR="00B51EB8" w:rsidRDefault="00B51EB8" w:rsidP="00B5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13"/>
    <w:rsid w:val="00110EBC"/>
    <w:rsid w:val="00774DDC"/>
    <w:rsid w:val="00AA755A"/>
    <w:rsid w:val="00B51EB8"/>
    <w:rsid w:val="00D84F13"/>
    <w:rsid w:val="00E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E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2019-11-14T08:38:00Z</dcterms:created>
  <dcterms:modified xsi:type="dcterms:W3CDTF">2019-11-15T02:08:00Z</dcterms:modified>
</cp:coreProperties>
</file>